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08A9" w14:textId="5AA0BC8E" w:rsidR="00D82F3E" w:rsidRPr="007C6341" w:rsidRDefault="007C6341" w:rsidP="00F90335">
      <w:pPr>
        <w:pStyle w:val="Heading2"/>
        <w:rPr>
          <w:b w:val="0"/>
        </w:rPr>
      </w:pPr>
      <w:bookmarkStart w:id="0" w:name="_GoBack"/>
      <w:bookmarkEnd w:id="0"/>
      <w:r w:rsidRPr="007C6341">
        <w:rPr>
          <w:b w:val="0"/>
        </w:rPr>
        <w:t>Instruction</w:t>
      </w:r>
    </w:p>
    <w:p w14:paraId="09C7D720" w14:textId="249850A3" w:rsidR="007C6341" w:rsidRDefault="007C6341" w:rsidP="007C6341">
      <w:pPr>
        <w:rPr>
          <w:rFonts w:cstheme="minorHAnsi"/>
        </w:rPr>
      </w:pPr>
      <w:r w:rsidRPr="007C6341">
        <w:rPr>
          <w:rFonts w:cstheme="minorHAnsi"/>
        </w:rPr>
        <w:t>Please indicate how much pain relief you expect over the coming three months?</w:t>
      </w:r>
    </w:p>
    <w:p w14:paraId="464D9001" w14:textId="549BAFD7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0. N</w:t>
      </w:r>
      <w:r w:rsidRPr="007C6341">
        <w:rPr>
          <w:rFonts w:cstheme="minorHAnsi"/>
        </w:rPr>
        <w:t>o relief</w:t>
      </w:r>
    </w:p>
    <w:p w14:paraId="289A58BF" w14:textId="464ABAB2" w:rsid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1.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10%</w:t>
      </w:r>
    </w:p>
    <w:p w14:paraId="3BE91249" w14:textId="439BA922" w:rsidR="004B68CC" w:rsidRPr="007C6341" w:rsidRDefault="004B68CC" w:rsidP="004B68CC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>
        <w:rPr>
          <w:rFonts w:cstheme="minorHAnsi"/>
        </w:rPr>
        <w:t>2.</w:t>
      </w:r>
      <w:r w:rsidRPr="00D4233A">
        <w:rPr>
          <w:rFonts w:cstheme="minorHAnsi"/>
        </w:rPr>
        <w:t xml:space="preserve"> </w:t>
      </w:r>
      <w:r>
        <w:rPr>
          <w:rFonts w:cstheme="minorHAnsi"/>
        </w:rPr>
        <w:t>20%</w:t>
      </w:r>
    </w:p>
    <w:p w14:paraId="1A5B113D" w14:textId="0A5100E0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3.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30%</w:t>
      </w:r>
    </w:p>
    <w:p w14:paraId="32B123BB" w14:textId="4DB86DEF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4.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40%</w:t>
      </w:r>
    </w:p>
    <w:p w14:paraId="50B49D37" w14:textId="2793741B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5.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50%</w:t>
      </w:r>
    </w:p>
    <w:p w14:paraId="3C00307B" w14:textId="18DB1A07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6.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60%</w:t>
      </w:r>
    </w:p>
    <w:p w14:paraId="6E50AEEE" w14:textId="49CFCB14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7.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70%</w:t>
      </w:r>
    </w:p>
    <w:p w14:paraId="2853CEE8" w14:textId="456FC37D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8.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80%</w:t>
      </w:r>
    </w:p>
    <w:p w14:paraId="32356A3B" w14:textId="3E3A26D8" w:rsidR="007C6341" w:rsidRPr="007C6341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9.</w:t>
      </w:r>
      <w:r w:rsidRPr="00D4233A">
        <w:rPr>
          <w:rFonts w:cstheme="minorHAnsi"/>
        </w:rPr>
        <w:t xml:space="preserve"> </w:t>
      </w:r>
      <w:r w:rsidRPr="007C6341">
        <w:rPr>
          <w:rFonts w:cstheme="minorHAnsi"/>
        </w:rPr>
        <w:t>90%</w:t>
      </w:r>
    </w:p>
    <w:p w14:paraId="2E42D910" w14:textId="456CEE54" w:rsidR="00F2443A" w:rsidRPr="00D4233A" w:rsidRDefault="007C6341" w:rsidP="007C6341">
      <w:pPr>
        <w:spacing w:after="0" w:line="240" w:lineRule="auto"/>
        <w:ind w:left="187" w:firstLine="245"/>
        <w:rPr>
          <w:rFonts w:cstheme="minorHAnsi"/>
        </w:rPr>
      </w:pPr>
      <w:r w:rsidRPr="00D4233A">
        <w:rPr>
          <w:rFonts w:cstheme="minorHAnsi"/>
        </w:rPr>
        <w:t>_</w:t>
      </w:r>
      <w:r w:rsidR="004B68CC">
        <w:rPr>
          <w:rFonts w:cstheme="minorHAnsi"/>
        </w:rPr>
        <w:t>10.</w:t>
      </w:r>
      <w:r w:rsidRPr="00D4233A">
        <w:rPr>
          <w:rFonts w:cstheme="minorHAnsi"/>
        </w:rPr>
        <w:t xml:space="preserve"> </w:t>
      </w:r>
      <w:r w:rsidR="004B68CC">
        <w:rPr>
          <w:rFonts w:cstheme="minorHAnsi"/>
        </w:rPr>
        <w:t>C</w:t>
      </w:r>
      <w:r w:rsidRPr="007C6341">
        <w:rPr>
          <w:rFonts w:cstheme="minorHAnsi"/>
        </w:rPr>
        <w:t>omplete relief</w:t>
      </w:r>
    </w:p>
    <w:p w14:paraId="000270F7" w14:textId="43F876E2" w:rsidR="00553E9B" w:rsidRDefault="00553E9B" w:rsidP="008B2D2D">
      <w:pPr>
        <w:pStyle w:val="NormalWeb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B9196B9" w14:textId="30589BEC" w:rsidR="008A3145" w:rsidRDefault="008A3145" w:rsidP="00AF25CA">
      <w:pPr>
        <w:rPr>
          <w:rFonts w:cstheme="minorHAnsi"/>
        </w:rPr>
      </w:pPr>
      <w:r>
        <w:rPr>
          <w:rFonts w:cstheme="minorHAnsi"/>
        </w:rPr>
        <w:t>Note</w:t>
      </w:r>
    </w:p>
    <w:p w14:paraId="04F1EAA4" w14:textId="77777777" w:rsidR="008A3145" w:rsidRDefault="008A3145" w:rsidP="008A3145">
      <w:pPr>
        <w:rPr>
          <w:rFonts w:cstheme="minorHAnsi"/>
        </w:rPr>
      </w:pPr>
      <w:r w:rsidRPr="007C6341">
        <w:rPr>
          <w:rFonts w:cstheme="minorHAnsi"/>
        </w:rPr>
        <w:t>This single item measure of expectation of pain relief, suggested by M.P. Jensen for the IMMPACT project and used by Cormier/</w:t>
      </w:r>
      <w:proofErr w:type="spellStart"/>
      <w:r w:rsidRPr="007C6341">
        <w:rPr>
          <w:rFonts w:cstheme="minorHAnsi"/>
        </w:rPr>
        <w:t>Rainville</w:t>
      </w:r>
      <w:proofErr w:type="spellEnd"/>
      <w:r w:rsidRPr="007C6341">
        <w:rPr>
          <w:rFonts w:cstheme="minorHAnsi"/>
        </w:rPr>
        <w:t xml:space="preserve"> 2016) in a large (N &gt; 2,000) multicenter cohort study by the Canadian Institutes of Health Research with chronic pain patients (mostly </w:t>
      </w:r>
      <w:proofErr w:type="spellStart"/>
      <w:r w:rsidRPr="007C6341">
        <w:rPr>
          <w:rFonts w:cstheme="minorHAnsi"/>
        </w:rPr>
        <w:t>cLBP</w:t>
      </w:r>
      <w:proofErr w:type="spellEnd"/>
      <w:r w:rsidRPr="007C6341">
        <w:rPr>
          <w:rFonts w:cstheme="minorHAnsi"/>
        </w:rPr>
        <w:t>) and was found to be the strongest expectation item predicting treatment outcome and patient satisfaction.</w:t>
      </w:r>
    </w:p>
    <w:p w14:paraId="52626B86" w14:textId="77777777" w:rsidR="008A3145" w:rsidRDefault="008A3145" w:rsidP="00AF25CA">
      <w:pPr>
        <w:rPr>
          <w:rFonts w:cstheme="minorHAnsi"/>
        </w:rPr>
      </w:pPr>
    </w:p>
    <w:p w14:paraId="1FB10272" w14:textId="62114504" w:rsidR="00286B7E" w:rsidRDefault="008A3145" w:rsidP="00AF25CA">
      <w:pPr>
        <w:rPr>
          <w:rFonts w:cstheme="minorHAnsi"/>
        </w:rPr>
      </w:pPr>
      <w:r>
        <w:rPr>
          <w:rFonts w:cstheme="minorHAnsi"/>
        </w:rPr>
        <w:t>Reference</w:t>
      </w:r>
      <w:r w:rsidR="00286B7E" w:rsidRPr="00D4233A">
        <w:rPr>
          <w:rFonts w:cstheme="minorHAnsi"/>
        </w:rPr>
        <w:t>:</w:t>
      </w:r>
    </w:p>
    <w:p w14:paraId="66B51DE4" w14:textId="31461FCD" w:rsidR="00B6478F" w:rsidRPr="00B6478F" w:rsidRDefault="00B6478F" w:rsidP="00AF25CA">
      <w:r>
        <w:t>Jensen (</w:t>
      </w:r>
      <w:r w:rsidRPr="00512151">
        <w:t>http://www.immpact.org/static/meetings/Immpact2/background/Jensen_review.pdf</w:t>
      </w:r>
      <w:r>
        <w:t>)</w:t>
      </w:r>
    </w:p>
    <w:p w14:paraId="70D89070" w14:textId="0D8A3E42" w:rsidR="0041172A" w:rsidRPr="0041172A" w:rsidRDefault="00AF25CA" w:rsidP="00AF25CA">
      <w:pPr>
        <w:rPr>
          <w:rFonts w:cstheme="minorHAnsi"/>
        </w:rPr>
      </w:pPr>
      <w:r>
        <w:t>Cormier</w:t>
      </w:r>
      <w:r w:rsidR="0041172A">
        <w:t>,</w:t>
      </w:r>
      <w:r>
        <w:t xml:space="preserve"> S</w:t>
      </w:r>
      <w:r w:rsidR="0041172A">
        <w:t>.</w:t>
      </w:r>
      <w:r>
        <w:t>, Lavigne</w:t>
      </w:r>
      <w:r w:rsidR="0041172A">
        <w:t>,</w:t>
      </w:r>
      <w:r>
        <w:t xml:space="preserve"> G</w:t>
      </w:r>
      <w:r w:rsidR="0041172A">
        <w:t xml:space="preserve">. </w:t>
      </w:r>
      <w:r>
        <w:t>L</w:t>
      </w:r>
      <w:r w:rsidR="0041172A">
        <w:t>.</w:t>
      </w:r>
      <w:r>
        <w:t xml:space="preserve">, </w:t>
      </w:r>
      <w:proofErr w:type="spellStart"/>
      <w:r>
        <w:t>Choiniere</w:t>
      </w:r>
      <w:proofErr w:type="spellEnd"/>
      <w:r w:rsidR="0041172A">
        <w:t>,</w:t>
      </w:r>
      <w:r>
        <w:t xml:space="preserve"> M</w:t>
      </w:r>
      <w:r w:rsidR="0041172A">
        <w:t>.</w:t>
      </w:r>
      <w:r>
        <w:t>,</w:t>
      </w:r>
      <w:r w:rsidR="0041172A">
        <w:t xml:space="preserve"> &amp;</w:t>
      </w:r>
      <w:r>
        <w:t xml:space="preserve"> </w:t>
      </w:r>
      <w:proofErr w:type="spellStart"/>
      <w:r>
        <w:t>Rainville</w:t>
      </w:r>
      <w:proofErr w:type="spellEnd"/>
      <w:r w:rsidR="0041172A">
        <w:t>,</w:t>
      </w:r>
      <w:r>
        <w:t xml:space="preserve"> P. </w:t>
      </w:r>
      <w:r w:rsidR="0041172A">
        <w:t xml:space="preserve">(2016). </w:t>
      </w:r>
      <w:r>
        <w:t xml:space="preserve">Expectations predict chronic pain treatment outcomes. </w:t>
      </w:r>
      <w:r w:rsidRPr="0041172A">
        <w:rPr>
          <w:i/>
        </w:rPr>
        <w:t>Pain</w:t>
      </w:r>
      <w:r w:rsidR="0041172A">
        <w:t xml:space="preserve">, </w:t>
      </w:r>
      <w:r w:rsidRPr="0041172A">
        <w:rPr>
          <w:i/>
        </w:rPr>
        <w:t>157</w:t>
      </w:r>
      <w:r>
        <w:t>(2)</w:t>
      </w:r>
      <w:r w:rsidR="0041172A">
        <w:t xml:space="preserve">, </w:t>
      </w:r>
      <w:r w:rsidRPr="0041172A">
        <w:rPr>
          <w:rFonts w:cstheme="minorHAnsi"/>
        </w:rPr>
        <w:t xml:space="preserve">329-338. </w:t>
      </w:r>
      <w:r w:rsidR="0041172A" w:rsidRPr="0041172A">
        <w:rPr>
          <w:rFonts w:cstheme="minorHAnsi"/>
        </w:rPr>
        <w:t>https://doi.org/10.1097/j.pain.0000000000000379</w:t>
      </w:r>
    </w:p>
    <w:sectPr w:rsidR="0041172A" w:rsidRPr="004117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05C7" w14:textId="77777777" w:rsidR="006529AC" w:rsidRDefault="006529AC" w:rsidP="00D627AC">
      <w:pPr>
        <w:spacing w:after="0" w:line="240" w:lineRule="auto"/>
      </w:pPr>
      <w:r>
        <w:separator/>
      </w:r>
    </w:p>
  </w:endnote>
  <w:endnote w:type="continuationSeparator" w:id="0">
    <w:p w14:paraId="5040D273" w14:textId="77777777" w:rsidR="006529AC" w:rsidRDefault="006529AC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2FB9" w14:textId="36D11F2D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A31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A314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5048" w14:textId="77777777" w:rsidR="006529AC" w:rsidRDefault="006529AC" w:rsidP="00D627AC">
      <w:pPr>
        <w:spacing w:after="0" w:line="240" w:lineRule="auto"/>
      </w:pPr>
      <w:r>
        <w:separator/>
      </w:r>
    </w:p>
  </w:footnote>
  <w:footnote w:type="continuationSeparator" w:id="0">
    <w:p w14:paraId="7E80879A" w14:textId="77777777" w:rsidR="006529AC" w:rsidRDefault="006529AC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3693" w14:textId="44E8C1BD" w:rsidR="007C6341" w:rsidRPr="007C6341" w:rsidRDefault="007C6341" w:rsidP="007C6341">
    <w:pPr>
      <w:pStyle w:val="Heading1"/>
    </w:pPr>
    <w:r w:rsidRPr="007C6341">
      <w:t>Expectation of Pain Relief</w:t>
    </w:r>
  </w:p>
  <w:p w14:paraId="63E6C527" w14:textId="541E4A77" w:rsidR="00506AF7" w:rsidRPr="00506AF7" w:rsidRDefault="00506AF7" w:rsidP="00817522">
    <w:pPr>
      <w:jc w:val="center"/>
    </w:pPr>
  </w:p>
  <w:p w14:paraId="2B974C76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665D1E0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949"/>
    <w:multiLevelType w:val="hybridMultilevel"/>
    <w:tmpl w:val="7E64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2033"/>
    <w:multiLevelType w:val="hybridMultilevel"/>
    <w:tmpl w:val="7E64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21E18"/>
    <w:rsid w:val="00026A43"/>
    <w:rsid w:val="00027953"/>
    <w:rsid w:val="00036663"/>
    <w:rsid w:val="0004382C"/>
    <w:rsid w:val="00051310"/>
    <w:rsid w:val="00072375"/>
    <w:rsid w:val="00082519"/>
    <w:rsid w:val="0008632B"/>
    <w:rsid w:val="00087CAA"/>
    <w:rsid w:val="000974B3"/>
    <w:rsid w:val="000A1E79"/>
    <w:rsid w:val="000A795F"/>
    <w:rsid w:val="000C1BF7"/>
    <w:rsid w:val="000C6A7E"/>
    <w:rsid w:val="000C6EF4"/>
    <w:rsid w:val="000D0A14"/>
    <w:rsid w:val="000D7A27"/>
    <w:rsid w:val="000E0D16"/>
    <w:rsid w:val="000F0CCF"/>
    <w:rsid w:val="000F2691"/>
    <w:rsid w:val="000F79D5"/>
    <w:rsid w:val="00106E8B"/>
    <w:rsid w:val="00112150"/>
    <w:rsid w:val="00114218"/>
    <w:rsid w:val="00122A3F"/>
    <w:rsid w:val="00122AA8"/>
    <w:rsid w:val="001417C1"/>
    <w:rsid w:val="00142687"/>
    <w:rsid w:val="001444F8"/>
    <w:rsid w:val="00154C90"/>
    <w:rsid w:val="00156838"/>
    <w:rsid w:val="0018159A"/>
    <w:rsid w:val="001852AE"/>
    <w:rsid w:val="00195CC3"/>
    <w:rsid w:val="001A6F89"/>
    <w:rsid w:val="001C35F7"/>
    <w:rsid w:val="001C5816"/>
    <w:rsid w:val="001D0D1A"/>
    <w:rsid w:val="001E552C"/>
    <w:rsid w:val="001F3D7E"/>
    <w:rsid w:val="00227489"/>
    <w:rsid w:val="00234C81"/>
    <w:rsid w:val="002515C3"/>
    <w:rsid w:val="0025496C"/>
    <w:rsid w:val="00256358"/>
    <w:rsid w:val="00263EC3"/>
    <w:rsid w:val="0027185F"/>
    <w:rsid w:val="002720C7"/>
    <w:rsid w:val="00274FF7"/>
    <w:rsid w:val="00286B17"/>
    <w:rsid w:val="00286B7E"/>
    <w:rsid w:val="002C6F97"/>
    <w:rsid w:val="002D1B90"/>
    <w:rsid w:val="002F0AB4"/>
    <w:rsid w:val="002F0F98"/>
    <w:rsid w:val="00316EB5"/>
    <w:rsid w:val="00321EB3"/>
    <w:rsid w:val="003240F6"/>
    <w:rsid w:val="00343B9A"/>
    <w:rsid w:val="00345FC3"/>
    <w:rsid w:val="00350C2F"/>
    <w:rsid w:val="00376420"/>
    <w:rsid w:val="00384EAA"/>
    <w:rsid w:val="003A549D"/>
    <w:rsid w:val="003C1D38"/>
    <w:rsid w:val="003C4F95"/>
    <w:rsid w:val="003D033C"/>
    <w:rsid w:val="003D65D1"/>
    <w:rsid w:val="003E3082"/>
    <w:rsid w:val="003E5803"/>
    <w:rsid w:val="003E5C39"/>
    <w:rsid w:val="003F54E2"/>
    <w:rsid w:val="003F7F11"/>
    <w:rsid w:val="00407035"/>
    <w:rsid w:val="0041172A"/>
    <w:rsid w:val="004158D8"/>
    <w:rsid w:val="004257CA"/>
    <w:rsid w:val="004269D5"/>
    <w:rsid w:val="00432C1B"/>
    <w:rsid w:val="0044611A"/>
    <w:rsid w:val="00463899"/>
    <w:rsid w:val="00471AAC"/>
    <w:rsid w:val="00473F18"/>
    <w:rsid w:val="004940A8"/>
    <w:rsid w:val="00494BC1"/>
    <w:rsid w:val="004A0667"/>
    <w:rsid w:val="004A0964"/>
    <w:rsid w:val="004A3F2D"/>
    <w:rsid w:val="004A4B72"/>
    <w:rsid w:val="004A4CB9"/>
    <w:rsid w:val="004A5714"/>
    <w:rsid w:val="004A7633"/>
    <w:rsid w:val="004B68CC"/>
    <w:rsid w:val="004C164A"/>
    <w:rsid w:val="004C1B90"/>
    <w:rsid w:val="004C1BEB"/>
    <w:rsid w:val="004C6C54"/>
    <w:rsid w:val="004D02FB"/>
    <w:rsid w:val="004D1AE9"/>
    <w:rsid w:val="004D52DE"/>
    <w:rsid w:val="004F3713"/>
    <w:rsid w:val="004F5201"/>
    <w:rsid w:val="004F7FBC"/>
    <w:rsid w:val="00506AF7"/>
    <w:rsid w:val="00512151"/>
    <w:rsid w:val="00514C40"/>
    <w:rsid w:val="005408A9"/>
    <w:rsid w:val="00541341"/>
    <w:rsid w:val="00551FC4"/>
    <w:rsid w:val="00553E9B"/>
    <w:rsid w:val="00554715"/>
    <w:rsid w:val="0055527E"/>
    <w:rsid w:val="00593EC7"/>
    <w:rsid w:val="0059494D"/>
    <w:rsid w:val="005A2337"/>
    <w:rsid w:val="005B064C"/>
    <w:rsid w:val="005B0F2D"/>
    <w:rsid w:val="005C352E"/>
    <w:rsid w:val="005D2CD6"/>
    <w:rsid w:val="005D4F9F"/>
    <w:rsid w:val="005D716E"/>
    <w:rsid w:val="00606FBC"/>
    <w:rsid w:val="00620ECB"/>
    <w:rsid w:val="0062497E"/>
    <w:rsid w:val="0062775C"/>
    <w:rsid w:val="00632B37"/>
    <w:rsid w:val="00647AA3"/>
    <w:rsid w:val="00651657"/>
    <w:rsid w:val="006529AC"/>
    <w:rsid w:val="006579C9"/>
    <w:rsid w:val="00670B24"/>
    <w:rsid w:val="00670D4B"/>
    <w:rsid w:val="006712E4"/>
    <w:rsid w:val="006716A5"/>
    <w:rsid w:val="00680B2A"/>
    <w:rsid w:val="006846C6"/>
    <w:rsid w:val="00686524"/>
    <w:rsid w:val="006913A3"/>
    <w:rsid w:val="006A1A67"/>
    <w:rsid w:val="006A1C2D"/>
    <w:rsid w:val="006A5E09"/>
    <w:rsid w:val="006A6687"/>
    <w:rsid w:val="006A6F2E"/>
    <w:rsid w:val="006C444F"/>
    <w:rsid w:val="006D3ABF"/>
    <w:rsid w:val="00707E69"/>
    <w:rsid w:val="0071076C"/>
    <w:rsid w:val="007149F9"/>
    <w:rsid w:val="0072140C"/>
    <w:rsid w:val="007215BC"/>
    <w:rsid w:val="007317C0"/>
    <w:rsid w:val="00742F50"/>
    <w:rsid w:val="007431AB"/>
    <w:rsid w:val="007538AB"/>
    <w:rsid w:val="00771921"/>
    <w:rsid w:val="00772FE3"/>
    <w:rsid w:val="00775C5D"/>
    <w:rsid w:val="00775D56"/>
    <w:rsid w:val="007873E7"/>
    <w:rsid w:val="007C0E44"/>
    <w:rsid w:val="007C4A5E"/>
    <w:rsid w:val="007C6341"/>
    <w:rsid w:val="007D128C"/>
    <w:rsid w:val="007D1B4D"/>
    <w:rsid w:val="007D2B04"/>
    <w:rsid w:val="007F1944"/>
    <w:rsid w:val="007F2862"/>
    <w:rsid w:val="007F782E"/>
    <w:rsid w:val="0080185B"/>
    <w:rsid w:val="00803565"/>
    <w:rsid w:val="00814D70"/>
    <w:rsid w:val="00817522"/>
    <w:rsid w:val="008313F9"/>
    <w:rsid w:val="00833ACC"/>
    <w:rsid w:val="008539BA"/>
    <w:rsid w:val="00855603"/>
    <w:rsid w:val="00860DB4"/>
    <w:rsid w:val="00861A56"/>
    <w:rsid w:val="0086649F"/>
    <w:rsid w:val="00871C04"/>
    <w:rsid w:val="00876F3A"/>
    <w:rsid w:val="008A3145"/>
    <w:rsid w:val="008B0092"/>
    <w:rsid w:val="008B2C2A"/>
    <w:rsid w:val="008B2D2D"/>
    <w:rsid w:val="008B38EF"/>
    <w:rsid w:val="008B4BA4"/>
    <w:rsid w:val="008C2CDA"/>
    <w:rsid w:val="008E022E"/>
    <w:rsid w:val="008E76A4"/>
    <w:rsid w:val="008F1C3A"/>
    <w:rsid w:val="00905E21"/>
    <w:rsid w:val="009136DC"/>
    <w:rsid w:val="00913B6E"/>
    <w:rsid w:val="00915249"/>
    <w:rsid w:val="00924F14"/>
    <w:rsid w:val="00932F57"/>
    <w:rsid w:val="00943430"/>
    <w:rsid w:val="0095118A"/>
    <w:rsid w:val="009551F9"/>
    <w:rsid w:val="009601D5"/>
    <w:rsid w:val="00963718"/>
    <w:rsid w:val="00963E6A"/>
    <w:rsid w:val="00970B4C"/>
    <w:rsid w:val="00985A6B"/>
    <w:rsid w:val="00987410"/>
    <w:rsid w:val="00987DE3"/>
    <w:rsid w:val="00994904"/>
    <w:rsid w:val="009B69AB"/>
    <w:rsid w:val="009C047A"/>
    <w:rsid w:val="009C0AA8"/>
    <w:rsid w:val="009C2F84"/>
    <w:rsid w:val="009D0258"/>
    <w:rsid w:val="009D4A5E"/>
    <w:rsid w:val="009E6BE2"/>
    <w:rsid w:val="009E6F4B"/>
    <w:rsid w:val="009F2320"/>
    <w:rsid w:val="009F2946"/>
    <w:rsid w:val="00A0216C"/>
    <w:rsid w:val="00A04577"/>
    <w:rsid w:val="00A05484"/>
    <w:rsid w:val="00A238CB"/>
    <w:rsid w:val="00A25FBE"/>
    <w:rsid w:val="00A267BA"/>
    <w:rsid w:val="00A3579A"/>
    <w:rsid w:val="00A4062C"/>
    <w:rsid w:val="00A65CE3"/>
    <w:rsid w:val="00A763DE"/>
    <w:rsid w:val="00A80C33"/>
    <w:rsid w:val="00A92B61"/>
    <w:rsid w:val="00AA4B69"/>
    <w:rsid w:val="00AB044C"/>
    <w:rsid w:val="00AB12CC"/>
    <w:rsid w:val="00AB6341"/>
    <w:rsid w:val="00AB6C15"/>
    <w:rsid w:val="00AF25CA"/>
    <w:rsid w:val="00AF741D"/>
    <w:rsid w:val="00AF7B41"/>
    <w:rsid w:val="00B0711E"/>
    <w:rsid w:val="00B21B2C"/>
    <w:rsid w:val="00B246E6"/>
    <w:rsid w:val="00B352AA"/>
    <w:rsid w:val="00B6478F"/>
    <w:rsid w:val="00B83CB8"/>
    <w:rsid w:val="00B855D8"/>
    <w:rsid w:val="00B85F1E"/>
    <w:rsid w:val="00B87D78"/>
    <w:rsid w:val="00BA488B"/>
    <w:rsid w:val="00BB334C"/>
    <w:rsid w:val="00BB4C19"/>
    <w:rsid w:val="00BC1DE0"/>
    <w:rsid w:val="00BC2FE8"/>
    <w:rsid w:val="00BC4847"/>
    <w:rsid w:val="00BD0BFF"/>
    <w:rsid w:val="00BE51DA"/>
    <w:rsid w:val="00BF0B79"/>
    <w:rsid w:val="00C02638"/>
    <w:rsid w:val="00C07045"/>
    <w:rsid w:val="00C17CF2"/>
    <w:rsid w:val="00C24C1C"/>
    <w:rsid w:val="00C32076"/>
    <w:rsid w:val="00C3604B"/>
    <w:rsid w:val="00C452C3"/>
    <w:rsid w:val="00C53030"/>
    <w:rsid w:val="00C620CC"/>
    <w:rsid w:val="00C62123"/>
    <w:rsid w:val="00C627B5"/>
    <w:rsid w:val="00C85C5E"/>
    <w:rsid w:val="00C87CD7"/>
    <w:rsid w:val="00C9514A"/>
    <w:rsid w:val="00CA13F3"/>
    <w:rsid w:val="00CB340C"/>
    <w:rsid w:val="00CB355C"/>
    <w:rsid w:val="00CC1886"/>
    <w:rsid w:val="00CC353C"/>
    <w:rsid w:val="00CE2B18"/>
    <w:rsid w:val="00CE2E48"/>
    <w:rsid w:val="00CF0F58"/>
    <w:rsid w:val="00D00278"/>
    <w:rsid w:val="00D01A6F"/>
    <w:rsid w:val="00D20C48"/>
    <w:rsid w:val="00D26F98"/>
    <w:rsid w:val="00D314F0"/>
    <w:rsid w:val="00D37746"/>
    <w:rsid w:val="00D408B8"/>
    <w:rsid w:val="00D4233A"/>
    <w:rsid w:val="00D50A2A"/>
    <w:rsid w:val="00D55725"/>
    <w:rsid w:val="00D627AC"/>
    <w:rsid w:val="00D82F3E"/>
    <w:rsid w:val="00D8509D"/>
    <w:rsid w:val="00DA17AF"/>
    <w:rsid w:val="00DC1CCF"/>
    <w:rsid w:val="00DC2DCB"/>
    <w:rsid w:val="00DC3E3A"/>
    <w:rsid w:val="00DC4C50"/>
    <w:rsid w:val="00DC7738"/>
    <w:rsid w:val="00DD216D"/>
    <w:rsid w:val="00DD55AB"/>
    <w:rsid w:val="00DE0212"/>
    <w:rsid w:val="00DF286B"/>
    <w:rsid w:val="00DF4C87"/>
    <w:rsid w:val="00DF5C43"/>
    <w:rsid w:val="00DF6684"/>
    <w:rsid w:val="00E05622"/>
    <w:rsid w:val="00E0618A"/>
    <w:rsid w:val="00E06A60"/>
    <w:rsid w:val="00E10FF6"/>
    <w:rsid w:val="00E14217"/>
    <w:rsid w:val="00E26CD0"/>
    <w:rsid w:val="00E33DCE"/>
    <w:rsid w:val="00E44849"/>
    <w:rsid w:val="00E50489"/>
    <w:rsid w:val="00E60F79"/>
    <w:rsid w:val="00E70B41"/>
    <w:rsid w:val="00E724A8"/>
    <w:rsid w:val="00E73654"/>
    <w:rsid w:val="00E776F0"/>
    <w:rsid w:val="00E8163C"/>
    <w:rsid w:val="00E8602E"/>
    <w:rsid w:val="00EA0187"/>
    <w:rsid w:val="00EA1759"/>
    <w:rsid w:val="00EA31C1"/>
    <w:rsid w:val="00EA7339"/>
    <w:rsid w:val="00EB2CE6"/>
    <w:rsid w:val="00EC0E28"/>
    <w:rsid w:val="00ED4268"/>
    <w:rsid w:val="00EE3D00"/>
    <w:rsid w:val="00EF22BA"/>
    <w:rsid w:val="00F1051C"/>
    <w:rsid w:val="00F12102"/>
    <w:rsid w:val="00F2167B"/>
    <w:rsid w:val="00F2443A"/>
    <w:rsid w:val="00F24D55"/>
    <w:rsid w:val="00F4692D"/>
    <w:rsid w:val="00F62C4D"/>
    <w:rsid w:val="00F66D48"/>
    <w:rsid w:val="00F800A3"/>
    <w:rsid w:val="00F86F2A"/>
    <w:rsid w:val="00F90335"/>
    <w:rsid w:val="00FA1923"/>
    <w:rsid w:val="00FA3FE8"/>
    <w:rsid w:val="00FA5149"/>
    <w:rsid w:val="00FC08EF"/>
    <w:rsid w:val="00FC6682"/>
    <w:rsid w:val="00FD577E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E02C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335"/>
    <w:pPr>
      <w:keepNext/>
      <w:keepLines/>
      <w:spacing w:after="0" w:line="48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63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A763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6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2F8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86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51FC4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90335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551F-367A-449E-AFBF-768E926C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Columbia-Suicide Severity Rating Scale</vt:lpstr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 of Pain Relief (EPR)</dc:title>
  <dc:subject/>
  <dc:creator>Jia-Wen Guo</dc:creator>
  <cp:keywords>EPR</cp:keywords>
  <dc:description/>
  <cp:lastModifiedBy>Wandner, Laura (NIH/NINDS) [E]</cp:lastModifiedBy>
  <cp:revision>2</cp:revision>
  <dcterms:created xsi:type="dcterms:W3CDTF">2020-08-28T12:55:00Z</dcterms:created>
  <dcterms:modified xsi:type="dcterms:W3CDTF">2020-08-28T12:55:00Z</dcterms:modified>
  <cp:category/>
</cp:coreProperties>
</file>